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A48" w:rsidRDefault="00CF7B09">
      <w:r>
        <w:t>EXTRACT MINUTE OF THE GOVERNANCE AND STANDARDS – INVESTMENT STRATEGY OUTTURN REPORT JULY 2022</w:t>
      </w:r>
    </w:p>
    <w:tbl>
      <w:tblPr>
        <w:tblW w:w="5000" w:type="pct"/>
        <w:tblLayout w:type="fixed"/>
        <w:tblLook w:val="0000" w:firstRow="0" w:lastRow="0" w:firstColumn="0" w:lastColumn="0" w:noHBand="0" w:noVBand="0"/>
      </w:tblPr>
      <w:tblGrid>
        <w:gridCol w:w="1387"/>
        <w:gridCol w:w="7639"/>
      </w:tblGrid>
      <w:tr w:rsidR="00CF7B09" w:rsidRPr="00CF7B09" w:rsidTr="00011A6D">
        <w:tc>
          <w:tcPr>
            <w:tcW w:w="200" w:type="dxa"/>
          </w:tcPr>
          <w:p w:rsidR="00CF7B09" w:rsidRPr="00CF7B09" w:rsidRDefault="00CF7B09" w:rsidP="00CF7B09">
            <w:pPr>
              <w:spacing w:after="120"/>
              <w:jc w:val="both"/>
              <w:rPr>
                <w:rFonts w:ascii="Arial" w:hAnsi="Arial" w:cs="Arial"/>
                <w:b/>
                <w:sz w:val="24"/>
              </w:rPr>
            </w:pPr>
            <w:r w:rsidRPr="00CF7B09">
              <w:rPr>
                <w:rFonts w:ascii="Arial" w:hAnsi="Arial" w:cs="Arial"/>
                <w:b/>
                <w:sz w:val="24"/>
              </w:rPr>
              <w:t>22/36</w:t>
            </w:r>
          </w:p>
        </w:tc>
        <w:tc>
          <w:tcPr>
            <w:tcW w:w="1300" w:type="dxa"/>
          </w:tcPr>
          <w:p w:rsidR="00CF7B09" w:rsidRPr="00CF7B09" w:rsidRDefault="00CF7B09" w:rsidP="00CF7B09">
            <w:pPr>
              <w:spacing w:after="120"/>
              <w:jc w:val="both"/>
              <w:rPr>
                <w:rFonts w:ascii="Arial" w:hAnsi="Arial" w:cs="Arial"/>
                <w:b/>
                <w:sz w:val="24"/>
              </w:rPr>
            </w:pPr>
            <w:r w:rsidRPr="00CF7B09">
              <w:rPr>
                <w:rFonts w:ascii="Arial" w:hAnsi="Arial" w:cs="Arial"/>
                <w:b/>
                <w:sz w:val="24"/>
              </w:rPr>
              <w:t>INVESTMENT STRATEGY OUTTURN REPORT.</w:t>
            </w:r>
          </w:p>
        </w:tc>
      </w:tr>
      <w:tr w:rsidR="00CF7B09" w:rsidRPr="00CF7B09" w:rsidTr="00011A6D">
        <w:tc>
          <w:tcPr>
            <w:tcW w:w="200" w:type="dxa"/>
          </w:tcPr>
          <w:p w:rsidR="00CF7B09" w:rsidRPr="00CF7B09" w:rsidRDefault="00CF7B09" w:rsidP="00CF7B09">
            <w:pPr>
              <w:spacing w:after="120"/>
              <w:jc w:val="both"/>
              <w:rPr>
                <w:rFonts w:ascii="Arial" w:hAnsi="Arial" w:cs="Arial"/>
                <w:b/>
                <w:sz w:val="24"/>
              </w:rPr>
            </w:pPr>
          </w:p>
        </w:tc>
        <w:tc>
          <w:tcPr>
            <w:tcW w:w="1300" w:type="dxa"/>
          </w:tcPr>
          <w:p w:rsidR="00CF7B09" w:rsidRPr="00CF7B09" w:rsidRDefault="00CF7B09" w:rsidP="00CF7B09">
            <w:pPr>
              <w:spacing w:after="120"/>
              <w:jc w:val="both"/>
              <w:rPr>
                <w:rFonts w:ascii="Arial" w:hAnsi="Arial" w:cs="Arial"/>
                <w:sz w:val="24"/>
              </w:rPr>
            </w:pPr>
            <w:r w:rsidRPr="00CF7B09">
              <w:rPr>
                <w:rFonts w:ascii="Arial" w:hAnsi="Arial" w:cs="Arial"/>
                <w:sz w:val="24"/>
              </w:rPr>
              <w:t>The Head of Finance provided a summary of the Investment Strategy Outturn 2021-2022.  The Committee was informed that the Committee had previously approved and recommended to Council the Investment Strategy 2021-2022.</w:t>
            </w:r>
          </w:p>
          <w:p w:rsidR="00CF7B09" w:rsidRPr="00CF7B09" w:rsidRDefault="00CF7B09" w:rsidP="00CF7B09">
            <w:pPr>
              <w:spacing w:after="120"/>
              <w:jc w:val="both"/>
              <w:rPr>
                <w:rFonts w:ascii="Arial" w:hAnsi="Arial" w:cs="Arial"/>
                <w:sz w:val="24"/>
              </w:rPr>
            </w:pPr>
            <w:r w:rsidRPr="00CF7B09">
              <w:rPr>
                <w:rFonts w:ascii="Arial" w:hAnsi="Arial" w:cs="Arial"/>
                <w:sz w:val="24"/>
              </w:rPr>
              <w:t>As part of the CIPFA Code of Practice the Council were required to provide an update to this Committee and then Council on a six monthly basis.  Earlier in the year the Committee received a half year update on how it was performing during 2021/2022 and this is the Outturn position up and including March 2022.</w:t>
            </w:r>
          </w:p>
          <w:p w:rsidR="00CF7B09" w:rsidRPr="00CF7B09" w:rsidRDefault="00CF7B09" w:rsidP="00CF7B09">
            <w:pPr>
              <w:spacing w:after="120"/>
              <w:jc w:val="both"/>
              <w:rPr>
                <w:rFonts w:ascii="Arial" w:hAnsi="Arial" w:cs="Arial"/>
                <w:sz w:val="24"/>
              </w:rPr>
            </w:pPr>
            <w:r w:rsidRPr="00CF7B09">
              <w:rPr>
                <w:rFonts w:ascii="Arial" w:hAnsi="Arial" w:cs="Arial"/>
                <w:sz w:val="24"/>
              </w:rPr>
              <w:t>The report details the Council’s performance against the targets within the Strategy.</w:t>
            </w:r>
          </w:p>
          <w:p w:rsidR="00CF7B09" w:rsidRPr="00CF7B09" w:rsidRDefault="00CF7B09" w:rsidP="00CF7B09">
            <w:pPr>
              <w:spacing w:after="120"/>
              <w:jc w:val="both"/>
              <w:rPr>
                <w:rFonts w:ascii="Arial" w:hAnsi="Arial" w:cs="Arial"/>
                <w:sz w:val="24"/>
              </w:rPr>
            </w:pPr>
            <w:r w:rsidRPr="00CF7B09">
              <w:rPr>
                <w:rFonts w:ascii="Arial" w:hAnsi="Arial" w:cs="Arial"/>
                <w:sz w:val="24"/>
              </w:rPr>
              <w:t>Councillor Sutcliffe stated that in relation to the property investments he had called for a quick exit strategy so that assets could be sold quickly without a lengthy process. The Member wanted to know if this quick exit strategy had been implemented.</w:t>
            </w:r>
          </w:p>
          <w:p w:rsidR="00CF7B09" w:rsidRPr="00CF7B09" w:rsidRDefault="00CF7B09" w:rsidP="00CF7B09">
            <w:pPr>
              <w:spacing w:after="120"/>
              <w:jc w:val="both"/>
              <w:rPr>
                <w:rFonts w:ascii="Arial" w:hAnsi="Arial" w:cs="Arial"/>
                <w:sz w:val="24"/>
              </w:rPr>
            </w:pPr>
            <w:r w:rsidRPr="00CF7B09">
              <w:rPr>
                <w:rFonts w:ascii="Arial" w:hAnsi="Arial" w:cs="Arial"/>
                <w:sz w:val="24"/>
              </w:rPr>
              <w:t>The Head of Finance did not have the documents at the meeting but advised that within the approved Investment Strategies there was an approved exit strategy.  The Officer would review the approved strategies and report back to the Committee.</w:t>
            </w:r>
          </w:p>
          <w:p w:rsidR="00CF7B09" w:rsidRPr="00CF7B09" w:rsidRDefault="00CF7B09" w:rsidP="00CF7B09">
            <w:pPr>
              <w:spacing w:after="120"/>
              <w:jc w:val="both"/>
              <w:rPr>
                <w:rFonts w:ascii="Arial" w:hAnsi="Arial" w:cs="Arial"/>
                <w:sz w:val="24"/>
              </w:rPr>
            </w:pPr>
            <w:r w:rsidRPr="00CF7B09">
              <w:rPr>
                <w:rFonts w:ascii="Arial" w:hAnsi="Arial" w:cs="Arial"/>
                <w:sz w:val="24"/>
              </w:rPr>
              <w:t>The Head of Finance felt that this would be an Executive Decision and therefore would be subject to call in.</w:t>
            </w:r>
          </w:p>
          <w:p w:rsidR="00CF7B09" w:rsidRPr="00CF7B09" w:rsidRDefault="00CF7B09" w:rsidP="00CF7B09">
            <w:pPr>
              <w:spacing w:after="120"/>
              <w:jc w:val="both"/>
              <w:rPr>
                <w:rFonts w:ascii="Arial" w:hAnsi="Arial" w:cs="Arial"/>
                <w:sz w:val="24"/>
              </w:rPr>
            </w:pPr>
            <w:r w:rsidRPr="00CF7B09">
              <w:rPr>
                <w:rFonts w:ascii="Arial" w:hAnsi="Arial" w:cs="Arial"/>
                <w:sz w:val="24"/>
              </w:rPr>
              <w:t>Councillor Fretwell asked if there was a report regarding credit ratings for inter-council lending? If not how were the Council credit ratings assessed?</w:t>
            </w:r>
          </w:p>
          <w:p w:rsidR="00CF7B09" w:rsidRPr="00CF7B09" w:rsidRDefault="00CF7B09" w:rsidP="00CF7B09">
            <w:pPr>
              <w:spacing w:after="120"/>
              <w:jc w:val="both"/>
              <w:rPr>
                <w:rFonts w:ascii="Arial" w:hAnsi="Arial" w:cs="Arial"/>
                <w:sz w:val="24"/>
              </w:rPr>
            </w:pPr>
            <w:r w:rsidRPr="00CF7B09">
              <w:rPr>
                <w:rFonts w:ascii="Arial" w:hAnsi="Arial" w:cs="Arial"/>
                <w:sz w:val="24"/>
              </w:rPr>
              <w:t xml:space="preserve">The Head of Finance advised that there wasn’t a report but the Council would seek advice from the Council’s Brokers.  Due diligence is completed as much is practical to do.  </w:t>
            </w:r>
          </w:p>
          <w:p w:rsidR="00CF7B09" w:rsidRPr="00CF7B09" w:rsidRDefault="00CF7B09" w:rsidP="00CF7B09">
            <w:pPr>
              <w:spacing w:after="120"/>
              <w:jc w:val="both"/>
              <w:rPr>
                <w:rFonts w:ascii="Arial" w:hAnsi="Arial" w:cs="Arial"/>
                <w:sz w:val="24"/>
              </w:rPr>
            </w:pPr>
            <w:r w:rsidRPr="00CF7B09">
              <w:rPr>
                <w:rFonts w:ascii="Arial" w:hAnsi="Arial" w:cs="Arial"/>
                <w:sz w:val="24"/>
              </w:rPr>
              <w:t>There is always a risk with investment, however by spreading the Council’s investments and type of investments it mitigates some of the risk.  There are good rates of return from inter-council lending.</w:t>
            </w:r>
          </w:p>
          <w:p w:rsidR="00CF7B09" w:rsidRPr="00CF7B09" w:rsidRDefault="00CF7B09" w:rsidP="00CF7B09">
            <w:pPr>
              <w:spacing w:after="120"/>
              <w:jc w:val="both"/>
              <w:rPr>
                <w:rFonts w:ascii="Arial" w:hAnsi="Arial" w:cs="Arial"/>
                <w:sz w:val="24"/>
              </w:rPr>
            </w:pPr>
            <w:r w:rsidRPr="00CF7B09">
              <w:rPr>
                <w:rFonts w:ascii="Arial" w:hAnsi="Arial" w:cs="Arial"/>
                <w:sz w:val="24"/>
              </w:rPr>
              <w:t>The Chair had a query related to the PWLB £8M due for repayment.  Will this be re-borrowed? This is due in March 2023.</w:t>
            </w:r>
          </w:p>
          <w:p w:rsidR="00CF7B09" w:rsidRPr="00CF7B09" w:rsidRDefault="00CF7B09" w:rsidP="00CF7B09">
            <w:pPr>
              <w:spacing w:after="120"/>
              <w:jc w:val="both"/>
              <w:rPr>
                <w:rFonts w:ascii="Arial" w:hAnsi="Arial" w:cs="Arial"/>
                <w:sz w:val="24"/>
              </w:rPr>
            </w:pPr>
            <w:r w:rsidRPr="00CF7B09">
              <w:rPr>
                <w:rFonts w:ascii="Arial" w:hAnsi="Arial" w:cs="Arial"/>
                <w:sz w:val="24"/>
              </w:rPr>
              <w:t>The Head of Finance advised that this would depend if this was necessary.  The Head of Finance advised that the assumption was that this was HRA borrowing, however a Stock Condition Survey had now been completed that would inform on the Capital HRA requirements over the next 30 years.  The Council are awaiting the results from these Surveys before any decisions were made regarding HRA Capital.</w:t>
            </w:r>
          </w:p>
          <w:p w:rsidR="00CF7B09" w:rsidRPr="00CF7B09" w:rsidRDefault="00CF7B09" w:rsidP="00CF7B09">
            <w:pPr>
              <w:spacing w:after="120"/>
              <w:jc w:val="both"/>
              <w:rPr>
                <w:rFonts w:ascii="Arial" w:hAnsi="Arial" w:cs="Arial"/>
                <w:sz w:val="24"/>
              </w:rPr>
            </w:pPr>
            <w:r w:rsidRPr="00CF7B09">
              <w:rPr>
                <w:rFonts w:ascii="Arial" w:hAnsi="Arial" w:cs="Arial"/>
                <w:sz w:val="24"/>
              </w:rPr>
              <w:lastRenderedPageBreak/>
              <w:t xml:space="preserve">The Head of Finance provided some background.  In 2012 the government transferred debt for Council housing dwellings to local authorities.  Mansfield District Council took the decision to repay that debt.   </w:t>
            </w:r>
          </w:p>
          <w:p w:rsidR="00CF7B09" w:rsidRPr="00CF7B09" w:rsidRDefault="00CF7B09" w:rsidP="00CF7B09">
            <w:pPr>
              <w:spacing w:after="120"/>
              <w:jc w:val="both"/>
              <w:rPr>
                <w:rFonts w:ascii="Arial" w:hAnsi="Arial" w:cs="Arial"/>
                <w:sz w:val="24"/>
              </w:rPr>
            </w:pPr>
            <w:r w:rsidRPr="00CF7B09">
              <w:rPr>
                <w:rFonts w:ascii="Arial" w:hAnsi="Arial" w:cs="Arial"/>
                <w:sz w:val="24"/>
              </w:rPr>
              <w:t>The Council has repaid some of that debt and set money aside each year to repay the debt.  .</w:t>
            </w:r>
          </w:p>
          <w:p w:rsidR="00CF7B09" w:rsidRPr="00CF7B09" w:rsidRDefault="00CF7B09" w:rsidP="00CF7B09">
            <w:pPr>
              <w:spacing w:after="120"/>
              <w:jc w:val="both"/>
              <w:rPr>
                <w:rFonts w:ascii="Arial" w:hAnsi="Arial" w:cs="Arial"/>
                <w:sz w:val="24"/>
              </w:rPr>
            </w:pPr>
            <w:r w:rsidRPr="00CF7B09">
              <w:rPr>
                <w:rFonts w:ascii="Arial" w:hAnsi="Arial" w:cs="Arial"/>
                <w:sz w:val="24"/>
              </w:rPr>
              <w:t>Councillor Answer proposed that the report be noted and recommended to Council in line with the 2009 CIPFA Code of Practice adopted by the Council this was seconded by Council Fretwell.</w:t>
            </w:r>
          </w:p>
          <w:p w:rsidR="00CF7B09" w:rsidRPr="00CF7B09" w:rsidRDefault="00CF7B09" w:rsidP="00CF7B09">
            <w:pPr>
              <w:spacing w:after="120"/>
              <w:jc w:val="both"/>
              <w:rPr>
                <w:rFonts w:ascii="Arial" w:hAnsi="Arial" w:cs="Arial"/>
                <w:sz w:val="24"/>
              </w:rPr>
            </w:pPr>
            <w:r w:rsidRPr="00CF7B09">
              <w:rPr>
                <w:rFonts w:ascii="Arial" w:hAnsi="Arial" w:cs="Arial"/>
                <w:sz w:val="24"/>
              </w:rPr>
              <w:t>The motion was carried by the Committee.</w:t>
            </w:r>
          </w:p>
          <w:p w:rsidR="00CF7B09" w:rsidRPr="00CF7B09" w:rsidRDefault="00CF7B09" w:rsidP="00CF7B09">
            <w:pPr>
              <w:spacing w:after="120"/>
              <w:jc w:val="both"/>
              <w:rPr>
                <w:rFonts w:ascii="Arial" w:hAnsi="Arial" w:cs="Arial"/>
                <w:sz w:val="24"/>
              </w:rPr>
            </w:pPr>
          </w:p>
          <w:p w:rsidR="00CF7B09" w:rsidRPr="00CF7B09" w:rsidRDefault="00CF7B09" w:rsidP="00CF7B09">
            <w:pPr>
              <w:spacing w:after="120"/>
              <w:jc w:val="both"/>
              <w:rPr>
                <w:rFonts w:ascii="Arial" w:hAnsi="Arial" w:cs="Arial"/>
                <w:sz w:val="24"/>
              </w:rPr>
            </w:pPr>
            <w:r w:rsidRPr="00CF7B09">
              <w:rPr>
                <w:rFonts w:ascii="Arial" w:hAnsi="Arial" w:cs="Arial"/>
                <w:sz w:val="24"/>
              </w:rPr>
              <w:t>RESOLVED</w:t>
            </w:r>
          </w:p>
          <w:p w:rsidR="00CF7B09" w:rsidRPr="00CF7B09" w:rsidRDefault="00CF7B09" w:rsidP="00CF7B09">
            <w:pPr>
              <w:spacing w:after="120"/>
              <w:jc w:val="both"/>
              <w:rPr>
                <w:rFonts w:ascii="Arial" w:hAnsi="Arial" w:cs="Arial"/>
                <w:sz w:val="24"/>
              </w:rPr>
            </w:pPr>
            <w:r w:rsidRPr="00CF7B09">
              <w:rPr>
                <w:rFonts w:ascii="Arial" w:hAnsi="Arial" w:cs="Arial"/>
                <w:sz w:val="24"/>
              </w:rPr>
              <w:t>That the report be noted and recommended to Council in line with the 2009 CIPFA Code of Practice adopted by the Council</w:t>
            </w:r>
          </w:p>
          <w:p w:rsidR="00CF7B09" w:rsidRPr="00CF7B09" w:rsidRDefault="00CF7B09" w:rsidP="00CF7B09">
            <w:pPr>
              <w:spacing w:after="120"/>
              <w:jc w:val="both"/>
              <w:rPr>
                <w:rFonts w:ascii="Arial" w:hAnsi="Arial" w:cs="Arial"/>
                <w:sz w:val="24"/>
              </w:rPr>
            </w:pPr>
          </w:p>
        </w:tc>
      </w:tr>
    </w:tbl>
    <w:p w:rsidR="00CF7B09" w:rsidRDefault="00CF7B09">
      <w:bookmarkStart w:id="0" w:name="_GoBack"/>
      <w:bookmarkEnd w:id="0"/>
    </w:p>
    <w:p w:rsidR="00CF7B09" w:rsidRDefault="00CF7B09"/>
    <w:sectPr w:rsidR="00CF7B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B09"/>
    <w:rsid w:val="002B1BBB"/>
    <w:rsid w:val="00B20541"/>
    <w:rsid w:val="00CF7B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A1FBD"/>
  <w15:chartTrackingRefBased/>
  <w15:docId w15:val="{A5B210EF-FBE2-4521-BF7C-66828BF43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Wright</dc:creator>
  <cp:keywords/>
  <dc:description/>
  <cp:lastModifiedBy>Gabriella Wright</cp:lastModifiedBy>
  <cp:revision>1</cp:revision>
  <dcterms:created xsi:type="dcterms:W3CDTF">2022-08-31T12:50:00Z</dcterms:created>
  <dcterms:modified xsi:type="dcterms:W3CDTF">2022-08-31T12:53:00Z</dcterms:modified>
</cp:coreProperties>
</file>